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before="79" w:lineRule="auto"/>
        <w:ind w:left="270" w:right="225" w:firstLine="0"/>
        <w:rPr>
          <w:rFonts w:ascii="Times New Roman" w:cs="Times New Roman" w:eastAsia="Times New Roman" w:hAnsi="Times New Roman"/>
        </w:rPr>
      </w:pPr>
      <w:bookmarkStart w:colFirst="0" w:colLast="0" w:name="_ptrruuq7992" w:id="0"/>
      <w:bookmarkEnd w:id="0"/>
      <w:r w:rsidDel="00000000" w:rsidR="00000000" w:rsidRPr="00000000">
        <w:rPr>
          <w:rFonts w:ascii="Times New Roman" w:cs="Times New Roman" w:eastAsia="Times New Roman" w:hAnsi="Times New Roman"/>
          <w:sz w:val="24"/>
          <w:szCs w:val="24"/>
          <w:u w:val="none"/>
          <w:rtl w:val="0"/>
        </w:rPr>
        <w:t xml:space="preserve">FIPS 201 Evaluation Program Attestation Form for PIV Card Body Approval</w:t>
      </w:r>
      <w:r w:rsidDel="00000000" w:rsidR="00000000" w:rsidRPr="00000000">
        <w:rPr>
          <w:rtl w:val="0"/>
        </w:rPr>
      </w:r>
    </w:p>
    <w:p w:rsidR="00000000" w:rsidDel="00000000" w:rsidP="00000000" w:rsidRDefault="00000000" w:rsidRPr="00000000" w14:paraId="00000002">
      <w:pPr>
        <w:pStyle w:val="Title"/>
        <w:spacing w:before="79" w:lineRule="auto"/>
        <w:ind w:left="3105" w:right="2833" w:hanging="375"/>
        <w:rPr>
          <w:rFonts w:ascii="Times New Roman" w:cs="Times New Roman" w:eastAsia="Times New Roman" w:hAnsi="Times New Roman"/>
          <w:sz w:val="24"/>
          <w:szCs w:val="24"/>
          <w:u w:val="none"/>
        </w:rPr>
      </w:pPr>
      <w:bookmarkStart w:colFirst="0" w:colLast="0" w:name="_8bwf3mt8d2bp" w:id="1"/>
      <w:bookmarkEnd w:id="1"/>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89" w:lineRule="auto"/>
        <w:ind w:left="20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This form serves to assert that the </w:t>
      </w:r>
      <w:r w:rsidDel="00000000" w:rsidR="00000000" w:rsidRPr="00000000">
        <w:rPr>
          <w:rFonts w:ascii="Times New Roman" w:cs="Times New Roman" w:eastAsia="Times New Roman" w:hAnsi="Times New Roman"/>
          <w:sz w:val="20"/>
          <w:szCs w:val="20"/>
          <w:rtl w:val="0"/>
        </w:rPr>
        <w:t xml:space="preserve">package</w:t>
      </w:r>
      <w:r w:rsidDel="00000000" w:rsidR="00000000" w:rsidRPr="00000000">
        <w:rPr>
          <w:rFonts w:ascii="Times New Roman" w:cs="Times New Roman" w:eastAsia="Times New Roman" w:hAnsi="Times New Roman"/>
          <w:color w:val="000000"/>
          <w:sz w:val="20"/>
          <w:szCs w:val="20"/>
          <w:rtl w:val="0"/>
        </w:rPr>
        <w:t xml:space="preserve"> being submitted for FIPS 201 conformance evaluation is accurately meeting the requirements stated in the FIPS 201 and related publications </w:t>
      </w:r>
      <w:r w:rsidDel="00000000" w:rsidR="00000000" w:rsidRPr="00000000">
        <w:rPr>
          <w:rFonts w:ascii="Times New Roman" w:cs="Times New Roman" w:eastAsia="Times New Roman" w:hAnsi="Times New Roman"/>
          <w:sz w:val="20"/>
          <w:szCs w:val="20"/>
          <w:rtl w:val="0"/>
        </w:rPr>
        <w:t xml:space="preserve">s</w:t>
      </w:r>
      <w:r w:rsidDel="00000000" w:rsidR="00000000" w:rsidRPr="00000000">
        <w:rPr>
          <w:rFonts w:ascii="Times New Roman" w:cs="Times New Roman" w:eastAsia="Times New Roman" w:hAnsi="Times New Roman"/>
          <w:color w:val="000000"/>
          <w:sz w:val="20"/>
          <w:szCs w:val="20"/>
          <w:rtl w:val="0"/>
        </w:rPr>
        <w:t xml:space="preserve">tandards.</w:t>
      </w:r>
    </w:p>
    <w:p w:rsidR="00000000" w:rsidDel="00000000" w:rsidP="00000000" w:rsidRDefault="00000000" w:rsidRPr="00000000" w14:paraId="00000004">
      <w:pPr>
        <w:pStyle w:val="Title"/>
        <w:spacing w:before="79" w:lineRule="auto"/>
        <w:ind w:left="3105" w:right="2833" w:hanging="375"/>
        <w:rPr>
          <w:rFonts w:ascii="Times New Roman" w:cs="Times New Roman" w:eastAsia="Times New Roman" w:hAnsi="Times New Roman"/>
          <w:sz w:val="20"/>
          <w:szCs w:val="20"/>
        </w:rPr>
      </w:pPr>
      <w:bookmarkStart w:colFirst="0" w:colLast="0" w:name="_j2kghwjiqwqe" w:id="2"/>
      <w:bookmarkEnd w:id="2"/>
      <w:r w:rsidDel="00000000" w:rsidR="00000000" w:rsidRPr="00000000">
        <w:rPr>
          <w:rtl w:val="0"/>
        </w:rPr>
      </w:r>
    </w:p>
    <w:p w:rsidR="00000000" w:rsidDel="00000000" w:rsidP="00000000" w:rsidRDefault="00000000" w:rsidRPr="00000000" w14:paraId="00000005">
      <w:pPr>
        <w:spacing w:before="1" w:lineRule="auto"/>
        <w:ind w:left="18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Applicant Information:</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b w:val="1"/>
          <w:sz w:val="17"/>
          <w:szCs w:val="17"/>
        </w:rPr>
      </w:pPr>
      <w:r w:rsidDel="00000000" w:rsidR="00000000" w:rsidRPr="00000000">
        <w:rPr>
          <w:rtl w:val="0"/>
        </w:rPr>
      </w:r>
    </w:p>
    <w:tbl>
      <w:tblPr>
        <w:tblStyle w:val="Table1"/>
        <w:tblW w:w="9570.0" w:type="dxa"/>
        <w:jc w:val="left"/>
        <w:tblInd w:w="2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7590"/>
        <w:tblGridChange w:id="0">
          <w:tblGrid>
            <w:gridCol w:w="1980"/>
            <w:gridCol w:w="7590"/>
          </w:tblGrid>
        </w:tblGridChange>
      </w:tblGrid>
      <w:tr>
        <w:trPr>
          <w:cantSplit w:val="0"/>
          <w:trHeight w:val="390" w:hRule="atLeast"/>
          <w:tblHeader w:val="0"/>
        </w:trPr>
        <w:tc>
          <w:tcPr>
            <w:shd w:fill="b7b7b7" w:val="clear"/>
            <w:tcMar>
              <w:top w:w="100.0" w:type="dxa"/>
              <w:left w:w="100.0" w:type="dxa"/>
              <w:bottom w:w="100.0" w:type="dxa"/>
              <w:right w:w="100.0" w:type="dxa"/>
            </w:tcMar>
          </w:tcPr>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Evaluating Lab Name</w:t>
            </w:r>
          </w:p>
        </w:tc>
        <w:tc>
          <w:tcPr>
            <w:shd w:fill="auto" w:val="clear"/>
            <w:tcMar>
              <w:top w:w="100.0" w:type="dxa"/>
              <w:left w:w="100.0" w:type="dxa"/>
              <w:bottom w:w="100.0" w:type="dxa"/>
              <w:right w:w="100.0" w:type="dxa"/>
            </w:tcMar>
          </w:tcPr>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sz w:val="17"/>
                <w:szCs w:val="17"/>
              </w:rPr>
            </w:pPr>
            <w:r w:rsidDel="00000000" w:rsidR="00000000" w:rsidRPr="00000000">
              <w:rPr>
                <w:rtl w:val="0"/>
              </w:rPr>
            </w:r>
          </w:p>
        </w:tc>
      </w:tr>
    </w:tbl>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b w:val="1"/>
          <w:color w:val="000000"/>
          <w:sz w:val="11"/>
          <w:szCs w:val="11"/>
        </w:rPr>
      </w:pPr>
      <w:r w:rsidDel="00000000" w:rsidR="00000000" w:rsidRPr="00000000">
        <w:rPr>
          <w:rtl w:val="0"/>
        </w:rPr>
      </w:r>
    </w:p>
    <w:p w:rsidR="00000000" w:rsidDel="00000000" w:rsidP="00000000" w:rsidRDefault="00000000" w:rsidRPr="00000000" w14:paraId="0000000A">
      <w:pPr>
        <w:spacing w:before="99" w:lineRule="auto"/>
        <w:ind w:left="20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Product/Service Information:</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b w:val="1"/>
          <w:color w:val="000000"/>
          <w:sz w:val="20"/>
          <w:szCs w:val="20"/>
        </w:rPr>
      </w:pPr>
      <w:r w:rsidDel="00000000" w:rsidR="00000000" w:rsidRPr="00000000">
        <w:rPr>
          <w:rtl w:val="0"/>
        </w:rPr>
      </w:r>
    </w:p>
    <w:tbl>
      <w:tblPr>
        <w:tblStyle w:val="Table2"/>
        <w:tblW w:w="9360.0" w:type="dxa"/>
        <w:jc w:val="left"/>
        <w:tblInd w:w="2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3270"/>
        <w:gridCol w:w="4110"/>
        <w:tblGridChange w:id="0">
          <w:tblGrid>
            <w:gridCol w:w="1980"/>
            <w:gridCol w:w="3270"/>
            <w:gridCol w:w="4110"/>
          </w:tblGrid>
        </w:tblGridChange>
      </w:tblGrid>
      <w:tr>
        <w:trPr>
          <w:cantSplit w:val="0"/>
          <w:trHeight w:val="264" w:hRule="atLeast"/>
          <w:tblHeader w:val="0"/>
        </w:trPr>
        <w:tc>
          <w:tcPr>
            <w:shd w:fill="c0c0c0"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5" w:lineRule="auto"/>
              <w:ind w:right="96"/>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Name</w:t>
            </w:r>
          </w:p>
        </w:tc>
        <w:tc>
          <w:tcPr>
            <w:gridSpan w:val="2"/>
          </w:tcPr>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265" w:hRule="atLeast"/>
          <w:tblHeader w:val="0"/>
        </w:trPr>
        <w:tc>
          <w:tcPr>
            <w:shd w:fill="c0c0c0"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6" w:lineRule="auto"/>
              <w:ind w:right="96"/>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 Number</w:t>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vMerge w:val="restart"/>
            <w:tcBorders>
              <w:bottom w:color="000000" w:space="0" w:sz="0" w:val="nil"/>
              <w:right w:color="000000" w:space="0" w:sz="0" w:val="nil"/>
            </w:tcBorders>
          </w:tcPr>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64" w:hRule="atLeast"/>
          <w:tblHeader w:val="0"/>
        </w:trPr>
        <w:tc>
          <w:tcPr>
            <w:shd w:fill="c0c0c0"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5" w:lineRule="auto"/>
              <w:ind w:right="95"/>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Hardware Version</w:t>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265" w:hRule="atLeast"/>
          <w:tblHeader w:val="0"/>
        </w:trPr>
        <w:tc>
          <w:tcPr>
            <w:shd w:fill="c0c0c0"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6" w:lineRule="auto"/>
              <w:ind w:right="95"/>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Software Version</w:t>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266" w:hRule="atLeast"/>
          <w:tblHeader w:val="0"/>
        </w:trPr>
        <w:tc>
          <w:tcPr>
            <w:shd w:fill="c0c0c0"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6" w:lineRule="auto"/>
              <w:ind w:right="96"/>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Firmware Version</w:t>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r>
    </w:tbl>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3"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C">
      <w:pPr>
        <w:ind w:left="20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 Specific Information:</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b w:val="1"/>
          <w:sz w:val="18"/>
          <w:szCs w:val="18"/>
        </w:rPr>
      </w:pPr>
      <w:r w:rsidDel="00000000" w:rsidR="00000000" w:rsidRPr="00000000">
        <w:rPr>
          <w:rtl w:val="0"/>
        </w:rPr>
      </w:r>
    </w:p>
    <w:tbl>
      <w:tblPr>
        <w:tblStyle w:val="Table3"/>
        <w:tblW w:w="4590.0" w:type="dxa"/>
        <w:jc w:val="left"/>
        <w:tblInd w:w="2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1260"/>
        <w:tblGridChange w:id="0">
          <w:tblGrid>
            <w:gridCol w:w="3330"/>
            <w:gridCol w:w="1260"/>
          </w:tblGrid>
        </w:tblGridChange>
      </w:tblGrid>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Approval Procedure Version</w:t>
            </w:r>
          </w:p>
        </w:tc>
        <w:tc>
          <w:tcPr>
            <w:shd w:fill="auto" w:val="clear"/>
            <w:tcMar>
              <w:top w:w="100.0" w:type="dxa"/>
              <w:left w:w="100.0" w:type="dxa"/>
              <w:bottom w:w="100.0" w:type="dxa"/>
              <w:right w:w="100.0" w:type="dxa"/>
            </w:tcMar>
          </w:tcPr>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11.1.0</w:t>
            </w:r>
          </w:p>
        </w:tc>
      </w:tr>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GSA Case Number</w:t>
            </w:r>
          </w:p>
        </w:tc>
        <w:tc>
          <w:tcPr>
            <w:shd w:fill="auto" w:val="clear"/>
            <w:tcMar>
              <w:top w:w="100.0" w:type="dxa"/>
              <w:left w:w="100.0" w:type="dxa"/>
              <w:bottom w:w="100.0" w:type="dxa"/>
              <w:right w:w="100.0" w:type="dxa"/>
            </w:tcMar>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b w:val="1"/>
          <w:color w:val="000000"/>
          <w:sz w:val="11"/>
          <w:szCs w:val="11"/>
        </w:rPr>
      </w:pPr>
      <w:r w:rsidDel="00000000" w:rsidR="00000000" w:rsidRPr="00000000">
        <w:rPr>
          <w:rtl w:val="0"/>
        </w:rPr>
      </w:r>
    </w:p>
    <w:p w:rsidR="00000000" w:rsidDel="00000000" w:rsidP="00000000" w:rsidRDefault="00000000" w:rsidRPr="00000000" w14:paraId="00000023">
      <w:pPr>
        <w:spacing w:before="99" w:lineRule="auto"/>
        <w:ind w:left="20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Requirements being attested to:</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tbl>
      <w:tblPr>
        <w:tblStyle w:val="Table4"/>
        <w:tblW w:w="958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5"/>
        <w:gridCol w:w="3900"/>
        <w:gridCol w:w="1320"/>
        <w:gridCol w:w="1410"/>
        <w:gridCol w:w="1860"/>
        <w:tblGridChange w:id="0">
          <w:tblGrid>
            <w:gridCol w:w="1095"/>
            <w:gridCol w:w="3900"/>
            <w:gridCol w:w="1320"/>
            <w:gridCol w:w="1410"/>
            <w:gridCol w:w="1860"/>
          </w:tblGrid>
        </w:tblGridChange>
      </w:tblGrid>
      <w:tr>
        <w:trPr>
          <w:cantSplit w:val="0"/>
          <w:trHeight w:val="612" w:hRule="atLeast"/>
          <w:tblHeader w:val="0"/>
        </w:trPr>
        <w:tc>
          <w:tcPr>
            <w:shd w:fill="c0c0c0" w:val="cle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95" w:lineRule="auto"/>
              <w:ind w:left="86"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Identifier #</w:t>
            </w:r>
          </w:p>
        </w:tc>
        <w:tc>
          <w:tcPr>
            <w:shd w:fill="c0c0c0"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95" w:lineRule="auto"/>
              <w:ind w:left="180"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Requirement Description</w:t>
            </w:r>
          </w:p>
        </w:tc>
        <w:tc>
          <w:tcPr>
            <w:shd w:fill="c0c0c0" w:val="clea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95" w:lineRule="auto"/>
              <w:ind w:left="180" w:firstLine="0"/>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Source</w:t>
            </w:r>
          </w:p>
        </w:tc>
        <w:tc>
          <w:tcPr>
            <w:shd w:fill="c0c0c0"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95" w:lineRule="auto"/>
              <w:ind w:left="270"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Test Conducted (Y/N/NA)</w:t>
            </w:r>
            <w:r w:rsidDel="00000000" w:rsidR="00000000" w:rsidRPr="00000000">
              <w:rPr>
                <w:rtl w:val="0"/>
              </w:rPr>
            </w:r>
          </w:p>
        </w:tc>
        <w:tc>
          <w:tcPr>
            <w:shd w:fill="c0c0c0"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95" w:lineRule="auto"/>
              <w:ind w:left="27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Associated Documentation ID # Provided </w:t>
            </w:r>
          </w:p>
        </w:tc>
      </w:tr>
      <w:tr>
        <w:trPr>
          <w:cantSplit w:val="0"/>
          <w:trHeight w:val="482" w:hRule="atLeast"/>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ind w:left="89"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PIV-C.1</w:t>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2" w:lineRule="auto"/>
              <w:ind w:left="107" w:right="-3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PIV Card body shall comply with </w:t>
            </w:r>
            <w:r w:rsidDel="00000000" w:rsidR="00000000" w:rsidRPr="00000000">
              <w:rPr>
                <w:rFonts w:ascii="Times New Roman" w:cs="Times New Roman" w:eastAsia="Times New Roman" w:hAnsi="Times New Roman"/>
                <w:sz w:val="20"/>
                <w:szCs w:val="20"/>
                <w:rtl w:val="0"/>
              </w:rPr>
              <w:t xml:space="preserve">the</w:t>
            </w:r>
            <w:r w:rsidDel="00000000" w:rsidR="00000000" w:rsidRPr="00000000">
              <w:rPr>
                <w:rFonts w:ascii="Times New Roman" w:cs="Times New Roman" w:eastAsia="Times New Roman" w:hAnsi="Times New Roman"/>
                <w:color w:val="000000"/>
                <w:sz w:val="20"/>
                <w:szCs w:val="20"/>
                <w:rtl w:val="0"/>
              </w:rPr>
              <w:t xml:space="preserve"> physical characteristics and durability as described in </w:t>
            </w:r>
            <w:r w:rsidDel="00000000" w:rsidR="00000000" w:rsidRPr="00000000">
              <w:rPr>
                <w:rFonts w:ascii="Times New Roman" w:cs="Times New Roman" w:eastAsia="Times New Roman" w:hAnsi="Times New Roman"/>
                <w:sz w:val="20"/>
                <w:szCs w:val="20"/>
                <w:rtl w:val="0"/>
              </w:rPr>
              <w:t xml:space="preserve">FIPS 201</w:t>
            </w: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FIPS 201-</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21"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Section 4.1.3</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82" w:hRule="atLeast"/>
          <w:tblHeader w:val="0"/>
        </w:trPr>
        <w:tc>
          <w:tcPr/>
          <w:p w:rsidR="00000000" w:rsidDel="00000000" w:rsidP="00000000" w:rsidRDefault="00000000" w:rsidRPr="00000000" w14:paraId="00000030">
            <w:pPr>
              <w:ind w:left="89"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PIV-C.2</w:t>
            </w:r>
          </w:p>
        </w:tc>
        <w:tc>
          <w:tcPr/>
          <w:p w:rsidR="00000000" w:rsidDel="00000000" w:rsidP="00000000" w:rsidRDefault="00000000" w:rsidRPr="00000000" w14:paraId="00000031">
            <w:pPr>
              <w:spacing w:line="242" w:lineRule="auto"/>
              <w:ind w:left="107" w:right="1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PIV Card body structure shall consist of card material(s)  that satisfy the card characteristics as described in ISO/IEC 7810.</w:t>
            </w:r>
          </w:p>
        </w:tc>
        <w:tc>
          <w:tcPr/>
          <w:p w:rsidR="00000000" w:rsidDel="00000000" w:rsidP="00000000" w:rsidRDefault="00000000" w:rsidRPr="00000000" w14:paraId="00000032">
            <w:pPr>
              <w:spacing w:line="241"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FIPS 201-3,</w:t>
            </w:r>
          </w:p>
          <w:p w:rsidR="00000000" w:rsidDel="00000000" w:rsidP="00000000" w:rsidRDefault="00000000" w:rsidRPr="00000000" w14:paraId="00000033">
            <w:pPr>
              <w:spacing w:line="221" w:lineRule="auto"/>
              <w:ind w:left="107" w:firstLine="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Section 4.1.3</w:t>
            </w:r>
            <w:r w:rsidDel="00000000" w:rsidR="00000000" w:rsidRPr="00000000">
              <w:rPr>
                <w:rtl w:val="0"/>
              </w:rPr>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704" w:hRule="atLeast"/>
          <w:tblHeader w:val="0"/>
        </w:trPr>
        <w:tc>
          <w:tcPr/>
          <w:p w:rsidR="00000000" w:rsidDel="00000000" w:rsidP="00000000" w:rsidRDefault="00000000" w:rsidRPr="00000000" w14:paraId="00000036">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PIV-C.</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tl w:val="0"/>
              </w:rPr>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2" w:lineRule="auto"/>
              <w:ind w:left="107" w:right="-3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PIV Card body shall comply with characteristics as described in ISO/IEC 10373.</w:t>
            </w:r>
          </w:p>
        </w:tc>
        <w:tc>
          <w:tcPr/>
          <w:p w:rsidR="00000000" w:rsidDel="00000000" w:rsidP="00000000" w:rsidRDefault="00000000" w:rsidRPr="00000000" w14:paraId="00000038">
            <w:pPr>
              <w:spacing w:line="241"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FIPS 201-3,</w:t>
            </w:r>
          </w:p>
          <w:p w:rsidR="00000000" w:rsidDel="00000000" w:rsidP="00000000" w:rsidRDefault="00000000" w:rsidRPr="00000000" w14:paraId="00000039">
            <w:pPr>
              <w:spacing w:line="221" w:lineRule="auto"/>
              <w:ind w:left="107" w:firstLine="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Section 4.1.3</w:t>
            </w: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39"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9"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39"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PIV-C.</w:t>
            </w: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2" w:lineRule="auto"/>
              <w:ind w:left="107" w:right="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PIV Card body shall comply with characteristics as described in ISO/IEC 7816 for contact cards.</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39"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FIPS 201-</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22"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Section 4.1</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39"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39"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78" w:hRule="atLeast"/>
          <w:tblHeader w:val="0"/>
        </w:trPr>
        <w:tc>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38"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PIV-C.</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tl w:val="0"/>
              </w:rPr>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2" w:lineRule="auto"/>
              <w:ind w:left="107" w:right="21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PIV Card body shall comply with characteristics as described in ISO/IEC 14443 for contactless cards.</w:t>
            </w:r>
          </w:p>
        </w:tc>
        <w:tc>
          <w:tcPr/>
          <w:p w:rsidR="00000000" w:rsidDel="00000000" w:rsidP="00000000" w:rsidRDefault="00000000" w:rsidRPr="00000000" w14:paraId="00000044">
            <w:pPr>
              <w:spacing w:line="239"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FIPS 201-3,</w:t>
            </w:r>
          </w:p>
          <w:p w:rsidR="00000000" w:rsidDel="00000000" w:rsidP="00000000" w:rsidRDefault="00000000" w:rsidRPr="00000000" w14:paraId="00000045">
            <w:pPr>
              <w:spacing w:line="222" w:lineRule="auto"/>
              <w:ind w:left="107" w:firstLine="0"/>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Section 4.1</w:t>
            </w:r>
            <w:r w:rsidDel="00000000" w:rsidR="00000000" w:rsidRPr="00000000">
              <w:rPr>
                <w:rtl w:val="0"/>
              </w:rPr>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38"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38"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77" w:hRule="atLeast"/>
          <w:tblHeader w:val="0"/>
        </w:trPr>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36"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PIV-C.</w:t>
            </w: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36"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PIV Card shall contain a contact and a contactless ICC interface.</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36"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FIPS 201-</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22"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Section 4.1.3</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36"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36"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722" w:hRule="atLeast"/>
          <w:tblHeader w:val="0"/>
        </w:trPr>
        <w:tc>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PIV-C.7</w:t>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2" w:lineRule="auto"/>
              <w:ind w:left="107" w:right="242"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card body structure shall consist of card material(s) that satisfy the test methods in American National Standards Institute (ANSI) 322.</w:t>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FIPS 201-</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Section 4.1.3</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38"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PIV-C.8</w:t>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2"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ANSI 322 test methods tests shall be used to evaluate card material durability and performance.</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38"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FIPS 201-</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1" w:line="221"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Section 4.1.3</w:t>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38"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38"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79" w:hRule="atLeast"/>
          <w:tblHeader w:val="0"/>
        </w:trPr>
        <w:tc>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37"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PIV-C.9</w:t>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37"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ANSI 322 tests shall include card flexure.</w:t>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37"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FIPS 201-</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22"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Section 4.1.3</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37"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37"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81" w:hRule="atLeast"/>
          <w:tblHeader w:val="0"/>
        </w:trPr>
        <w:tc>
          <w:tcPr/>
          <w:p w:rsidR="00000000" w:rsidDel="00000000" w:rsidP="00000000" w:rsidRDefault="00000000" w:rsidRPr="00000000" w14:paraId="00000060">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PIV-C.10</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ANSI 322 tests shall include card static stress.</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FIPS 201-</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21"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Section 4.1.3</w:t>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66">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PIV-C.11</w:t>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ANSI322 tests shall include plasticizer exposure.</w:t>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FIPS 201-</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1" w:line="221"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Section 4.1.3</w:t>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6C">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PIV-C.12</w:t>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ANSI 322 tests shall include impact resistance.</w:t>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FIPS 201-</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22"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Section 4.1.3</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72">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PIV-C.13</w:t>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ANSI 322 tests shall include card structural integrity.</w:t>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FIPS 201-</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22" w:lineRule="auto"/>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Section 4.1.3</w:t>
            </w:r>
          </w:p>
        </w:tc>
        <w:tc>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78">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PIV-C.14</w:t>
            </w:r>
            <w:r w:rsidDel="00000000" w:rsidR="00000000" w:rsidRPr="00000000">
              <w:rPr>
                <w:rtl w:val="0"/>
              </w:rPr>
            </w:r>
          </w:p>
        </w:tc>
        <w:tc>
          <w:tcPr/>
          <w:p w:rsidR="00000000" w:rsidDel="00000000" w:rsidP="00000000" w:rsidRDefault="00000000" w:rsidRPr="00000000" w14:paraId="00000079">
            <w:pPr>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ANSI 322 tests shall include card surface abrasion.</w:t>
            </w:r>
          </w:p>
        </w:tc>
        <w:tc>
          <w:tcPr/>
          <w:p w:rsidR="00000000" w:rsidDel="00000000" w:rsidP="00000000" w:rsidRDefault="00000000" w:rsidRPr="00000000" w14:paraId="0000007A">
            <w:pPr>
              <w:spacing w:line="241"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FIPS 201-3,</w:t>
            </w:r>
          </w:p>
          <w:p w:rsidR="00000000" w:rsidDel="00000000" w:rsidP="00000000" w:rsidRDefault="00000000" w:rsidRPr="00000000" w14:paraId="0000007B">
            <w:pPr>
              <w:spacing w:line="222"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4.1.3</w:t>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7E">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PIV-C-15</w:t>
            </w:r>
          </w:p>
        </w:tc>
        <w:tc>
          <w:tcPr/>
          <w:p w:rsidR="00000000" w:rsidDel="00000000" w:rsidP="00000000" w:rsidRDefault="00000000" w:rsidRPr="00000000" w14:paraId="0000007F">
            <w:pPr>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ANSI 322 tests shall include card temperature and humidity-induced dye migration.</w:t>
            </w:r>
          </w:p>
        </w:tc>
        <w:tc>
          <w:tcPr/>
          <w:p w:rsidR="00000000" w:rsidDel="00000000" w:rsidP="00000000" w:rsidRDefault="00000000" w:rsidRPr="00000000" w14:paraId="00000080">
            <w:pPr>
              <w:spacing w:line="241"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FIPS 201-3,</w:t>
            </w:r>
          </w:p>
          <w:p w:rsidR="00000000" w:rsidDel="00000000" w:rsidP="00000000" w:rsidRDefault="00000000" w:rsidRPr="00000000" w14:paraId="00000081">
            <w:pPr>
              <w:spacing w:line="222"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4.1.3</w:t>
            </w:r>
          </w:p>
        </w:tc>
        <w:tc>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84">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PIV-C.16</w:t>
            </w:r>
          </w:p>
        </w:tc>
        <w:tc>
          <w:tcPr/>
          <w:p w:rsidR="00000000" w:rsidDel="00000000" w:rsidP="00000000" w:rsidRDefault="00000000" w:rsidRPr="00000000" w14:paraId="00000085">
            <w:pPr>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ANSI 322 tests shall include card ultraviolet light exposure.</w:t>
            </w:r>
          </w:p>
        </w:tc>
        <w:tc>
          <w:tcPr/>
          <w:p w:rsidR="00000000" w:rsidDel="00000000" w:rsidP="00000000" w:rsidRDefault="00000000" w:rsidRPr="00000000" w14:paraId="00000086">
            <w:pPr>
              <w:spacing w:line="241"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FIPS 201-3,</w:t>
            </w:r>
          </w:p>
          <w:p w:rsidR="00000000" w:rsidDel="00000000" w:rsidP="00000000" w:rsidRDefault="00000000" w:rsidRPr="00000000" w14:paraId="00000087">
            <w:pPr>
              <w:spacing w:line="222"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4.1.3</w:t>
            </w:r>
          </w:p>
        </w:tc>
        <w:tc>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8A">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PIV-C.17</w:t>
            </w:r>
          </w:p>
        </w:tc>
        <w:tc>
          <w:tcPr/>
          <w:p w:rsidR="00000000" w:rsidDel="00000000" w:rsidP="00000000" w:rsidRDefault="00000000" w:rsidRPr="00000000" w14:paraId="0000008B">
            <w:pPr>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ANSI 322 tests shall include card laundry test.</w:t>
            </w:r>
          </w:p>
        </w:tc>
        <w:tc>
          <w:tcPr/>
          <w:p w:rsidR="00000000" w:rsidDel="00000000" w:rsidP="00000000" w:rsidRDefault="00000000" w:rsidRPr="00000000" w14:paraId="0000008C">
            <w:pPr>
              <w:spacing w:line="241"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FIPS 201-3,</w:t>
            </w:r>
          </w:p>
          <w:p w:rsidR="00000000" w:rsidDel="00000000" w:rsidP="00000000" w:rsidRDefault="00000000" w:rsidRPr="00000000" w14:paraId="0000008D">
            <w:pPr>
              <w:spacing w:line="222"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4.1.3</w:t>
            </w:r>
          </w:p>
        </w:tc>
        <w:tc>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90">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PIV-C.18</w:t>
            </w:r>
          </w:p>
        </w:tc>
        <w:tc>
          <w:tcPr/>
          <w:p w:rsidR="00000000" w:rsidDel="00000000" w:rsidP="00000000" w:rsidRDefault="00000000" w:rsidRPr="00000000" w14:paraId="00000091">
            <w:pPr>
              <w:spacing w:line="242" w:lineRule="auto"/>
              <w:ind w:left="107" w:right="15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cards shall not malfunction or delaminate after hand cleaning with a mild soap and water mixture.</w:t>
            </w:r>
          </w:p>
        </w:tc>
        <w:tc>
          <w:tcPr/>
          <w:p w:rsidR="00000000" w:rsidDel="00000000" w:rsidP="00000000" w:rsidRDefault="00000000" w:rsidRPr="00000000" w14:paraId="00000092">
            <w:pPr>
              <w:spacing w:line="241"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FIPS 201-3,</w:t>
            </w:r>
          </w:p>
          <w:p w:rsidR="00000000" w:rsidDel="00000000" w:rsidP="00000000" w:rsidRDefault="00000000" w:rsidRPr="00000000" w14:paraId="00000093">
            <w:pPr>
              <w:spacing w:line="222"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4.1.3</w:t>
            </w:r>
          </w:p>
        </w:tc>
        <w:tc>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96">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PIV-C.19</w:t>
            </w:r>
          </w:p>
        </w:tc>
        <w:tc>
          <w:tcPr/>
          <w:p w:rsidR="00000000" w:rsidDel="00000000" w:rsidP="00000000" w:rsidRDefault="00000000" w:rsidRPr="00000000" w14:paraId="00000097">
            <w:pPr>
              <w:spacing w:line="242" w:lineRule="auto"/>
              <w:ind w:left="107" w:right="2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cards shall be subjected to sunlight exposure in accordance with Section 5.12 of ISO 10373 or to ultraviolet and daylight fading exposure in accordance with ANSI 322. </w:t>
            </w:r>
          </w:p>
        </w:tc>
        <w:tc>
          <w:tcPr/>
          <w:p w:rsidR="00000000" w:rsidDel="00000000" w:rsidP="00000000" w:rsidRDefault="00000000" w:rsidRPr="00000000" w14:paraId="00000098">
            <w:pPr>
              <w:spacing w:line="241"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FIPS 201-3,</w:t>
            </w:r>
          </w:p>
          <w:p w:rsidR="00000000" w:rsidDel="00000000" w:rsidP="00000000" w:rsidRDefault="00000000" w:rsidRPr="00000000" w14:paraId="00000099">
            <w:pPr>
              <w:spacing w:line="222"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4.1.3</w:t>
            </w:r>
          </w:p>
        </w:tc>
        <w:tc>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9C">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PIV-C.20</w:t>
            </w:r>
          </w:p>
        </w:tc>
        <w:tc>
          <w:tcPr/>
          <w:p w:rsidR="00000000" w:rsidDel="00000000" w:rsidP="00000000" w:rsidRDefault="00000000" w:rsidRPr="00000000" w14:paraId="0000009D">
            <w:pPr>
              <w:spacing w:line="242" w:lineRule="auto"/>
              <w:ind w:left="107" w:right="2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card shall be subjected to actual, concentrated, or artificial sunlight to appropriately reflect 2000 hours of southwestern United States’ sunlight exposure. The tests shall be in accordance with ISO 10373. Concentrated sunlight exposure shall be performed in accordance with G90-17 and accelerated exposure in accordance with G155-2013. </w:t>
            </w:r>
          </w:p>
        </w:tc>
        <w:tc>
          <w:tcPr/>
          <w:p w:rsidR="00000000" w:rsidDel="00000000" w:rsidP="00000000" w:rsidRDefault="00000000" w:rsidRPr="00000000" w14:paraId="0000009E">
            <w:pPr>
              <w:spacing w:line="241"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FIPS 201-3,</w:t>
            </w:r>
          </w:p>
          <w:p w:rsidR="00000000" w:rsidDel="00000000" w:rsidP="00000000" w:rsidRDefault="00000000" w:rsidRPr="00000000" w14:paraId="0000009F">
            <w:pPr>
              <w:spacing w:line="222"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4.1.3</w:t>
            </w:r>
          </w:p>
        </w:tc>
        <w:tc>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A2">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PIV-C.21</w:t>
            </w:r>
          </w:p>
        </w:tc>
        <w:tc>
          <w:tcPr/>
          <w:p w:rsidR="00000000" w:rsidDel="00000000" w:rsidP="00000000" w:rsidRDefault="00000000" w:rsidRPr="00000000" w14:paraId="000000A3">
            <w:pPr>
              <w:spacing w:line="242" w:lineRule="auto"/>
              <w:ind w:left="107" w:right="25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card shall be subjected to the ISO 10373 dynamic bending test and shall have no visible cracks or failures after the ISO 10373 or ANSI 322 exposure.</w:t>
            </w:r>
          </w:p>
        </w:tc>
        <w:tc>
          <w:tcPr/>
          <w:p w:rsidR="00000000" w:rsidDel="00000000" w:rsidP="00000000" w:rsidRDefault="00000000" w:rsidRPr="00000000" w14:paraId="000000A4">
            <w:pPr>
              <w:spacing w:line="241"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FIPS 201-3,</w:t>
            </w:r>
          </w:p>
          <w:p w:rsidR="00000000" w:rsidDel="00000000" w:rsidP="00000000" w:rsidRDefault="00000000" w:rsidRPr="00000000" w14:paraId="000000A5">
            <w:pPr>
              <w:spacing w:line="222"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4.1.3</w:t>
            </w:r>
          </w:p>
        </w:tc>
        <w:tc>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A8">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PIV-C.22</w:t>
            </w:r>
          </w:p>
        </w:tc>
        <w:tc>
          <w:tcPr/>
          <w:p w:rsidR="00000000" w:rsidDel="00000000" w:rsidP="00000000" w:rsidRDefault="00000000" w:rsidRPr="00000000" w14:paraId="000000A9">
            <w:pPr>
              <w:spacing w:line="242" w:lineRule="auto"/>
              <w:ind w:left="107" w:right="3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card shall be 27- to 33-mil thick (before lamination) in accordance with ISO 7810.</w:t>
            </w:r>
          </w:p>
        </w:tc>
        <w:tc>
          <w:tcPr/>
          <w:p w:rsidR="00000000" w:rsidDel="00000000" w:rsidP="00000000" w:rsidRDefault="00000000" w:rsidRPr="00000000" w14:paraId="000000AA">
            <w:pPr>
              <w:spacing w:line="241"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FIPS 201-3,</w:t>
            </w:r>
          </w:p>
          <w:p w:rsidR="00000000" w:rsidDel="00000000" w:rsidP="00000000" w:rsidRDefault="00000000" w:rsidRPr="00000000" w14:paraId="000000AB">
            <w:pPr>
              <w:spacing w:line="222"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4.1.3</w:t>
            </w:r>
          </w:p>
        </w:tc>
        <w:tc>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AE">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PIV-C.23</w:t>
            </w:r>
          </w:p>
        </w:tc>
        <w:tc>
          <w:tcPr/>
          <w:p w:rsidR="00000000" w:rsidDel="00000000" w:rsidP="00000000" w:rsidRDefault="00000000" w:rsidRPr="00000000" w14:paraId="000000AF">
            <w:pPr>
              <w:spacing w:line="242" w:lineRule="auto"/>
              <w:ind w:left="107" w:right="22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card material shall allow production of a flat card in accordance with ISO 7810 after lamination of one or both sides of the card.</w:t>
            </w:r>
          </w:p>
        </w:tc>
        <w:tc>
          <w:tcPr/>
          <w:p w:rsidR="00000000" w:rsidDel="00000000" w:rsidP="00000000" w:rsidRDefault="00000000" w:rsidRPr="00000000" w14:paraId="000000B0">
            <w:pPr>
              <w:spacing w:line="241"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FIPS 201-3,</w:t>
            </w:r>
          </w:p>
          <w:p w:rsidR="00000000" w:rsidDel="00000000" w:rsidP="00000000" w:rsidRDefault="00000000" w:rsidRPr="00000000" w14:paraId="000000B1">
            <w:pPr>
              <w:spacing w:line="222"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Section 4.1.3</w:t>
            </w:r>
          </w:p>
        </w:tc>
        <w:tc>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B4">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PIV-C.24</w:t>
            </w:r>
          </w:p>
        </w:tc>
        <w:tc>
          <w:tcPr/>
          <w:p w:rsidR="00000000" w:rsidDel="00000000" w:rsidP="00000000" w:rsidRDefault="00000000" w:rsidRPr="00000000" w14:paraId="000000B5">
            <w:pPr>
              <w:ind w:left="107" w:right="39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validation certificate from the NIST Personal Identity Verification Program (NPIVP) detailing that the Product being tested is listed in the PIV Card Application Validation list as conformant as defined in SP 800-73:</w:t>
            </w:r>
          </w:p>
          <w:p w:rsidR="00000000" w:rsidDel="00000000" w:rsidP="00000000" w:rsidRDefault="00000000" w:rsidRPr="00000000" w14:paraId="000000B6">
            <w:pPr>
              <w:ind w:left="107" w:right="394" w:firstLine="0"/>
              <w:rPr>
                <w:rFonts w:ascii="Times New Roman" w:cs="Times New Roman" w:eastAsia="Times New Roman" w:hAnsi="Times New Roman"/>
                <w:sz w:val="20"/>
                <w:szCs w:val="20"/>
              </w:rPr>
            </w:pPr>
            <w:hyperlink r:id="rId6">
              <w:r w:rsidDel="00000000" w:rsidR="00000000" w:rsidRPr="00000000">
                <w:rPr>
                  <w:rFonts w:ascii="Times New Roman" w:cs="Times New Roman" w:eastAsia="Times New Roman" w:hAnsi="Times New Roman"/>
                  <w:color w:val="1155cc"/>
                  <w:sz w:val="20"/>
                  <w:szCs w:val="20"/>
                  <w:u w:val="single"/>
                  <w:rtl w:val="0"/>
                </w:rPr>
                <w:t xml:space="preserve">https://csrc.nist.gov/Projects/nist-personal-identity-verification-program/Validation-Lists/piv-card-application-validation-list</w:t>
              </w:r>
            </w:hyperlink>
            <w:r w:rsidDel="00000000" w:rsidR="00000000" w:rsidRPr="00000000">
              <w:rPr>
                <w:rtl w:val="0"/>
              </w:rPr>
            </w:r>
          </w:p>
          <w:p w:rsidR="00000000" w:rsidDel="00000000" w:rsidP="00000000" w:rsidRDefault="00000000" w:rsidRPr="00000000" w14:paraId="000000B7">
            <w:pPr>
              <w:ind w:left="107" w:right="394"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B8">
            <w:pPr>
              <w:spacing w:line="241"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 800-73</w:t>
            </w:r>
          </w:p>
          <w:p w:rsidR="00000000" w:rsidDel="00000000" w:rsidP="00000000" w:rsidRDefault="00000000" w:rsidRPr="00000000" w14:paraId="000000B9">
            <w:pPr>
              <w:spacing w:line="241" w:lineRule="auto"/>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Appendix A - PIV Data Model</w:t>
            </w:r>
          </w:p>
        </w:tc>
        <w:tc>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0BC">
            <w:pPr>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PIV-C.25</w:t>
            </w:r>
          </w:p>
        </w:tc>
        <w:tc>
          <w:tcPr/>
          <w:p w:rsidR="00000000" w:rsidDel="00000000" w:rsidP="00000000" w:rsidRDefault="00000000" w:rsidRPr="00000000" w14:paraId="000000BD">
            <w:pPr>
              <w:ind w:left="107" w:right="39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validation certificate from The NIST Cryptographic Module Validation Program (CMVP) which validates cryptographic modules to the Federal Information Processing Standard (FIPS) 140-3, Security Requirements for Cryptographic Modules:</w:t>
            </w:r>
          </w:p>
          <w:p w:rsidR="00000000" w:rsidDel="00000000" w:rsidP="00000000" w:rsidRDefault="00000000" w:rsidRPr="00000000" w14:paraId="000000BE">
            <w:pPr>
              <w:ind w:left="107" w:right="394" w:firstLine="0"/>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color w:val="1155cc"/>
                  <w:sz w:val="20"/>
                  <w:szCs w:val="20"/>
                  <w:u w:val="single"/>
                  <w:rtl w:val="0"/>
                </w:rPr>
                <w:t xml:space="preserve">https://csrc.nist.gov/projects/cryptographic-module-validation-program</w:t>
              </w:r>
            </w:hyperlink>
            <w:r w:rsidDel="00000000" w:rsidR="00000000" w:rsidRPr="00000000">
              <w:rPr>
                <w:rtl w:val="0"/>
              </w:rPr>
            </w:r>
          </w:p>
          <w:p w:rsidR="00000000" w:rsidDel="00000000" w:rsidP="00000000" w:rsidRDefault="00000000" w:rsidRPr="00000000" w14:paraId="000000BF">
            <w:pPr>
              <w:ind w:left="107" w:right="394"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C0">
            <w:pPr>
              <w:spacing w:line="241" w:lineRule="auto"/>
              <w:ind w:left="107"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1" w:lineRule="auto"/>
              <w:ind w:left="107" w:firstLine="0"/>
              <w:rPr>
                <w:rFonts w:ascii="Times New Roman" w:cs="Times New Roman" w:eastAsia="Times New Roman" w:hAnsi="Times New Roman"/>
                <w:color w:val="000000"/>
                <w:sz w:val="20"/>
                <w:szCs w:val="20"/>
                <w:highlight w:val="yellow"/>
              </w:rPr>
            </w:pPr>
            <w:r w:rsidDel="00000000" w:rsidR="00000000" w:rsidRPr="00000000">
              <w:rPr>
                <w:rtl w:val="0"/>
              </w:rPr>
            </w:r>
          </w:p>
        </w:tc>
      </w:tr>
    </w:tbl>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4" w:lineRule="auto"/>
        <w:rPr>
          <w:rFonts w:ascii="Times New Roman" w:cs="Times New Roman" w:eastAsia="Times New Roman" w:hAnsi="Times New Roman"/>
          <w:b w:val="1"/>
          <w:color w:val="000000"/>
          <w:sz w:val="7"/>
          <w:szCs w:val="7"/>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4" w:lineRule="auto"/>
        <w:rPr>
          <w:rFonts w:ascii="Times New Roman" w:cs="Times New Roman" w:eastAsia="Times New Roman" w:hAnsi="Times New Roman"/>
          <w:b w:val="1"/>
          <w:color w:val="000000"/>
          <w:sz w:val="7"/>
          <w:szCs w:val="7"/>
        </w:rPr>
      </w:pPr>
      <w:r w:rsidDel="00000000" w:rsidR="00000000" w:rsidRPr="00000000">
        <w:rPr>
          <w:rtl w:val="0"/>
        </w:rPr>
      </w:r>
    </w:p>
    <w:p w:rsidR="00000000" w:rsidDel="00000000" w:rsidP="00000000" w:rsidRDefault="00000000" w:rsidRPr="00000000" w14:paraId="000000C5">
      <w:pPr>
        <w:spacing w:before="100" w:lineRule="auto"/>
        <w:ind w:left="20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6">
      <w:pPr>
        <w:spacing w:before="99" w:lineRule="auto"/>
        <w:ind w:left="20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Areas of Non-Conformance:</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89" w:lineRule="auto"/>
        <w:ind w:left="20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This section cites the specific requirements associated with non-conformance, and the reasons resulting in non-conformance. </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89" w:lineRule="auto"/>
        <w:ind w:left="200" w:firstLine="0"/>
        <w:rPr>
          <w:rFonts w:ascii="Times New Roman" w:cs="Times New Roman" w:eastAsia="Times New Roman" w:hAnsi="Times New Roman"/>
          <w:color w:val="000000"/>
          <w:sz w:val="20"/>
          <w:szCs w:val="20"/>
        </w:rPr>
      </w:pPr>
      <w:r w:rsidDel="00000000" w:rsidR="00000000" w:rsidRPr="00000000">
        <w:rPr>
          <w:rtl w:val="0"/>
        </w:rPr>
      </w:r>
    </w:p>
    <w:tbl>
      <w:tblPr>
        <w:tblStyle w:val="Table5"/>
        <w:tblW w:w="9470.0" w:type="dxa"/>
        <w:jc w:val="left"/>
        <w:tblInd w:w="2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5"/>
        <w:gridCol w:w="4898"/>
        <w:gridCol w:w="3157"/>
        <w:tblGridChange w:id="0">
          <w:tblGrid>
            <w:gridCol w:w="1415"/>
            <w:gridCol w:w="4898"/>
            <w:gridCol w:w="3157"/>
          </w:tblGrid>
        </w:tblGridChange>
      </w:tblGrid>
      <w:tr>
        <w:trPr>
          <w:cantSplit w:val="0"/>
          <w:tblHeader w:val="0"/>
        </w:trPr>
        <w:tc>
          <w:tcPr>
            <w:shd w:fill="d9d9d9" w:val="clear"/>
          </w:tcPr>
          <w:p w:rsidR="00000000" w:rsidDel="00000000" w:rsidP="00000000" w:rsidRDefault="00000000" w:rsidRPr="00000000" w14:paraId="000000C9">
            <w:pPr>
              <w:spacing w:before="95" w:lineRule="auto"/>
              <w:ind w:left="180"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Identifier #</w:t>
            </w:r>
          </w:p>
        </w:tc>
        <w:tc>
          <w:tcPr>
            <w:shd w:fill="d9d9d9" w:val="clear"/>
          </w:tcPr>
          <w:p w:rsidR="00000000" w:rsidDel="00000000" w:rsidP="00000000" w:rsidRDefault="00000000" w:rsidRPr="00000000" w14:paraId="000000CA">
            <w:pPr>
              <w:spacing w:before="95" w:lineRule="auto"/>
              <w:ind w:left="180"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Evaluation Findings</w:t>
            </w:r>
          </w:p>
        </w:tc>
        <w:tc>
          <w:tcPr>
            <w:shd w:fill="d9d9d9" w:val="clear"/>
          </w:tcPr>
          <w:p w:rsidR="00000000" w:rsidDel="00000000" w:rsidP="00000000" w:rsidRDefault="00000000" w:rsidRPr="00000000" w14:paraId="000000CB">
            <w:pPr>
              <w:spacing w:before="95" w:lineRule="auto"/>
              <w:ind w:left="180"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Recommendation</w:t>
            </w:r>
          </w:p>
        </w:tc>
      </w:tr>
      <w:tr>
        <w:trPr>
          <w:cantSplit w:val="0"/>
          <w:tblHeader w:val="0"/>
        </w:trPr>
        <w:tc>
          <w:tcPr/>
          <w:p w:rsidR="00000000" w:rsidDel="00000000" w:rsidP="00000000" w:rsidRDefault="00000000" w:rsidRPr="00000000" w14:paraId="000000CC">
            <w:pPr>
              <w:spacing w:before="10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CD">
            <w:pPr>
              <w:spacing w:before="10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CE">
            <w:pPr>
              <w:spacing w:before="100" w:lineRule="auto"/>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F">
            <w:pPr>
              <w:spacing w:before="10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D0">
            <w:pPr>
              <w:spacing w:before="10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D1">
            <w:pPr>
              <w:spacing w:before="100" w:lineRule="auto"/>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D2">
      <w:pPr>
        <w:spacing w:before="100" w:lineRule="auto"/>
        <w:ind w:left="20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*Add rows as needed</w:t>
      </w:r>
    </w:p>
    <w:p w:rsidR="00000000" w:rsidDel="00000000" w:rsidP="00000000" w:rsidRDefault="00000000" w:rsidRPr="00000000" w14:paraId="000000D3">
      <w:pPr>
        <w:spacing w:before="100" w:lineRule="auto"/>
        <w:ind w:left="20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Signature:</w:t>
      </w:r>
    </w:p>
    <w:p w:rsidR="00000000" w:rsidDel="00000000" w:rsidP="00000000" w:rsidRDefault="00000000" w:rsidRPr="00000000" w14:paraId="000000D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1" w:lineRule="auto"/>
        <w:ind w:left="200" w:right="728"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hereby claim that I am authorized to sign this form on behalf of the above specified </w:t>
      </w:r>
      <w:r w:rsidDel="00000000" w:rsidR="00000000" w:rsidRPr="00000000">
        <w:rPr>
          <w:rFonts w:ascii="Times New Roman" w:cs="Times New Roman" w:eastAsia="Times New Roman" w:hAnsi="Times New Roman"/>
          <w:sz w:val="20"/>
          <w:szCs w:val="20"/>
          <w:rtl w:val="0"/>
        </w:rPr>
        <w:t xml:space="preserve">Evaluating Lab</w:t>
      </w:r>
      <w:r w:rsidDel="00000000" w:rsidR="00000000" w:rsidRPr="00000000">
        <w:rPr>
          <w:rFonts w:ascii="Times New Roman" w:cs="Times New Roman" w:eastAsia="Times New Roman" w:hAnsi="Times New Roman"/>
          <w:color w:val="000000"/>
          <w:sz w:val="20"/>
          <w:szCs w:val="20"/>
          <w:rtl w:val="0"/>
        </w:rPr>
        <w:t xml:space="preserve">. By signing this form I acknowledge that,</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D7">
      <w:pPr>
        <w:numPr>
          <w:ilvl w:val="0"/>
          <w:numId w:val="2"/>
        </w:numPr>
        <w:pBdr>
          <w:top w:space="0" w:sz="0" w:val="nil"/>
          <w:left w:space="0" w:sz="0" w:val="nil"/>
          <w:bottom w:space="0" w:sz="0" w:val="nil"/>
          <w:right w:space="0" w:sz="0" w:val="nil"/>
          <w:between w:space="0" w:sz="0" w:val="nil"/>
        </w:pBdr>
        <w:tabs>
          <w:tab w:val="left" w:leader="none" w:pos="559"/>
          <w:tab w:val="left" w:leader="none" w:pos="560"/>
        </w:tabs>
        <w:ind w:left="720" w:right="482"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am aware of the requirements of FIPS 201 and its related publications that the Product needs to comply with and that the Product that has been submitted to the FIPS 201 EP is, to the best of my knowledge, complete and accurately meet these requirements.</w:t>
      </w:r>
    </w:p>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D9">
      <w:pPr>
        <w:numPr>
          <w:ilvl w:val="0"/>
          <w:numId w:val="4"/>
        </w:numPr>
        <w:pBdr>
          <w:top w:space="0" w:sz="0" w:val="nil"/>
          <w:left w:space="0" w:sz="0" w:val="nil"/>
          <w:bottom w:space="0" w:sz="0" w:val="nil"/>
          <w:right w:space="0" w:sz="0" w:val="nil"/>
          <w:between w:space="0" w:sz="0" w:val="nil"/>
        </w:pBdr>
        <w:tabs>
          <w:tab w:val="left" w:leader="none" w:pos="560"/>
          <w:tab w:val="left" w:leader="none" w:pos="561"/>
        </w:tabs>
        <w:ind w:left="720" w:right="80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organization will notify the FIPS 201 EP of any manufacturing or product (form, fit or function) change that the product may undergo from the date it was placed on the Approved Products List (APL) until it is removed and placed on the Removed Products List (RPL).</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DB">
      <w:pPr>
        <w:numPr>
          <w:ilvl w:val="0"/>
          <w:numId w:val="5"/>
        </w:numPr>
        <w:pBdr>
          <w:top w:space="0" w:sz="0" w:val="nil"/>
          <w:left w:space="0" w:sz="0" w:val="nil"/>
          <w:bottom w:space="0" w:sz="0" w:val="nil"/>
          <w:right w:space="0" w:sz="0" w:val="nil"/>
          <w:between w:space="0" w:sz="0" w:val="nil"/>
        </w:pBdr>
        <w:tabs>
          <w:tab w:val="left" w:leader="none" w:pos="560"/>
          <w:tab w:val="left" w:leader="none" w:pos="561"/>
        </w:tabs>
        <w:spacing w:line="242"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organization will not use </w:t>
      </w:r>
      <w:r w:rsidDel="00000000" w:rsidR="00000000" w:rsidRPr="00000000">
        <w:rPr>
          <w:rFonts w:ascii="Times New Roman" w:cs="Times New Roman" w:eastAsia="Times New Roman" w:hAnsi="Times New Roman"/>
          <w:sz w:val="20"/>
          <w:szCs w:val="20"/>
          <w:rtl w:val="0"/>
        </w:rPr>
        <w:t xml:space="preserve">the</w:t>
      </w:r>
      <w:r w:rsidDel="00000000" w:rsidR="00000000" w:rsidRPr="00000000">
        <w:rPr>
          <w:rFonts w:ascii="Times New Roman" w:cs="Times New Roman" w:eastAsia="Times New Roman" w:hAnsi="Times New Roman"/>
          <w:color w:val="000000"/>
          <w:sz w:val="20"/>
          <w:szCs w:val="20"/>
          <w:rtl w:val="0"/>
        </w:rPr>
        <w:t xml:space="preserve"> product’s approval status in a way that, in the opinion of FIPS 201 EP:</w:t>
      </w:r>
    </w:p>
    <w:p w:rsidR="00000000" w:rsidDel="00000000" w:rsidP="00000000" w:rsidRDefault="00000000" w:rsidRPr="00000000" w14:paraId="000000DC">
      <w:pPr>
        <w:numPr>
          <w:ilvl w:val="1"/>
          <w:numId w:val="1"/>
        </w:numPr>
        <w:pBdr>
          <w:top w:space="0" w:sz="0" w:val="nil"/>
          <w:left w:space="0" w:sz="0" w:val="nil"/>
          <w:bottom w:space="0" w:sz="0" w:val="nil"/>
          <w:right w:space="0" w:sz="0" w:val="nil"/>
          <w:between w:space="0" w:sz="0" w:val="nil"/>
        </w:pBdr>
        <w:tabs>
          <w:tab w:val="left" w:leader="none" w:pos="1281"/>
        </w:tabs>
        <w:spacing w:line="250" w:lineRule="auto"/>
        <w:ind w:left="1280" w:hanging="360"/>
        <w:rPr>
          <w:color w:val="000000"/>
        </w:rPr>
      </w:pPr>
      <w:r w:rsidDel="00000000" w:rsidR="00000000" w:rsidRPr="00000000">
        <w:rPr>
          <w:rFonts w:ascii="Times New Roman" w:cs="Times New Roman" w:eastAsia="Times New Roman" w:hAnsi="Times New Roman"/>
          <w:color w:val="000000"/>
          <w:sz w:val="20"/>
          <w:szCs w:val="20"/>
          <w:rtl w:val="0"/>
        </w:rPr>
        <w:t xml:space="preserve">Is inconsistent with the scope of the product’s approval status.</w:t>
      </w:r>
      <w:r w:rsidDel="00000000" w:rsidR="00000000" w:rsidRPr="00000000">
        <w:rPr>
          <w:rtl w:val="0"/>
        </w:rPr>
      </w:r>
    </w:p>
    <w:p w:rsidR="00000000" w:rsidDel="00000000" w:rsidP="00000000" w:rsidRDefault="00000000" w:rsidRPr="00000000" w14:paraId="000000DD">
      <w:pPr>
        <w:numPr>
          <w:ilvl w:val="1"/>
          <w:numId w:val="1"/>
        </w:numPr>
        <w:pBdr>
          <w:top w:space="0" w:sz="0" w:val="nil"/>
          <w:left w:space="0" w:sz="0" w:val="nil"/>
          <w:bottom w:space="0" w:sz="0" w:val="nil"/>
          <w:right w:space="0" w:sz="0" w:val="nil"/>
          <w:between w:space="0" w:sz="0" w:val="nil"/>
        </w:pBdr>
        <w:tabs>
          <w:tab w:val="left" w:leader="none" w:pos="1281"/>
        </w:tabs>
        <w:spacing w:line="241" w:lineRule="auto"/>
        <w:ind w:left="1280" w:hanging="360"/>
        <w:rPr>
          <w:color w:val="000000"/>
        </w:rPr>
      </w:pPr>
      <w:r w:rsidDel="00000000" w:rsidR="00000000" w:rsidRPr="00000000">
        <w:rPr>
          <w:rFonts w:ascii="Times New Roman" w:cs="Times New Roman" w:eastAsia="Times New Roman" w:hAnsi="Times New Roman"/>
          <w:color w:val="000000"/>
          <w:sz w:val="20"/>
          <w:szCs w:val="20"/>
          <w:rtl w:val="0"/>
        </w:rPr>
        <w:t xml:space="preserve">Brings the credibility of the FIPS 201 EP into question.</w:t>
      </w:r>
      <w:r w:rsidDel="00000000" w:rsidR="00000000" w:rsidRPr="00000000">
        <w:rPr>
          <w:rtl w:val="0"/>
        </w:rPr>
      </w:r>
    </w:p>
    <w:p w:rsidR="00000000" w:rsidDel="00000000" w:rsidP="00000000" w:rsidRDefault="00000000" w:rsidRPr="00000000" w14:paraId="000000DE">
      <w:pPr>
        <w:numPr>
          <w:ilvl w:val="1"/>
          <w:numId w:val="1"/>
        </w:numPr>
        <w:pBdr>
          <w:top w:space="0" w:sz="0" w:val="nil"/>
          <w:left w:space="0" w:sz="0" w:val="nil"/>
          <w:bottom w:space="0" w:sz="0" w:val="nil"/>
          <w:right w:space="0" w:sz="0" w:val="nil"/>
          <w:between w:space="0" w:sz="0" w:val="nil"/>
        </w:pBdr>
        <w:tabs>
          <w:tab w:val="left" w:leader="none" w:pos="1281"/>
        </w:tabs>
        <w:spacing w:after="200" w:line="251" w:lineRule="auto"/>
        <w:ind w:left="1280" w:hanging="360"/>
        <w:rPr>
          <w:color w:val="000000"/>
        </w:rPr>
      </w:pPr>
      <w:r w:rsidDel="00000000" w:rsidR="00000000" w:rsidRPr="00000000">
        <w:rPr>
          <w:rFonts w:ascii="Times New Roman" w:cs="Times New Roman" w:eastAsia="Times New Roman" w:hAnsi="Times New Roman"/>
          <w:color w:val="000000"/>
          <w:sz w:val="20"/>
          <w:szCs w:val="20"/>
          <w:rtl w:val="0"/>
        </w:rPr>
        <w:t xml:space="preserve">Is misleading or inaccurate.</w:t>
      </w:r>
      <w:r w:rsidDel="00000000" w:rsidR="00000000" w:rsidRPr="00000000">
        <w:rPr>
          <w:rtl w:val="0"/>
        </w:rPr>
      </w:r>
    </w:p>
    <w:p w:rsidR="00000000" w:rsidDel="00000000" w:rsidP="00000000" w:rsidRDefault="00000000" w:rsidRPr="00000000" w14:paraId="000000DF">
      <w:pPr>
        <w:numPr>
          <w:ilvl w:val="0"/>
          <w:numId w:val="6"/>
        </w:numPr>
        <w:pBdr>
          <w:top w:space="0" w:sz="0" w:val="nil"/>
          <w:left w:space="0" w:sz="0" w:val="nil"/>
          <w:bottom w:space="0" w:sz="0" w:val="nil"/>
          <w:right w:space="0" w:sz="0" w:val="nil"/>
          <w:between w:space="0" w:sz="0" w:val="nil"/>
        </w:pBdr>
        <w:tabs>
          <w:tab w:val="left" w:leader="none" w:pos="560"/>
          <w:tab w:val="left" w:leader="none" w:pos="561"/>
        </w:tabs>
        <w:spacing w:before="200" w:lineRule="auto"/>
        <w:ind w:left="720" w:right="423"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organization agrees upon withdrawal, suspension, or revocation of compliance status to immediately cease and desist any and all advertising or statements claiming the approval status of the affected product(s).</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8"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1">
      <w:pPr>
        <w:numPr>
          <w:ilvl w:val="0"/>
          <w:numId w:val="3"/>
        </w:numPr>
        <w:pBdr>
          <w:top w:space="0" w:sz="0" w:val="nil"/>
          <w:left w:space="0" w:sz="0" w:val="nil"/>
          <w:bottom w:space="0" w:sz="0" w:val="nil"/>
          <w:right w:space="0" w:sz="0" w:val="nil"/>
          <w:between w:space="0" w:sz="0" w:val="nil"/>
        </w:pBdr>
        <w:tabs>
          <w:tab w:val="left" w:leader="none" w:pos="559"/>
          <w:tab w:val="left" w:leader="none" w:pos="560"/>
        </w:tabs>
        <w:ind w:left="720" w:right="795"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organization will use the approval status only in the manner for which it was issued and reference only the requirements of the specific category to which the product was found to be compliant</w:t>
      </w:r>
    </w:p>
    <w:p w:rsidR="00000000" w:rsidDel="00000000" w:rsidP="00000000" w:rsidRDefault="00000000" w:rsidRPr="00000000" w14:paraId="000000E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E3">
      <w:pPr>
        <w:numPr>
          <w:ilvl w:val="0"/>
          <w:numId w:val="3"/>
        </w:numPr>
        <w:pBdr>
          <w:top w:space="0" w:sz="0" w:val="nil"/>
          <w:left w:space="0" w:sz="0" w:val="nil"/>
          <w:bottom w:space="0" w:sz="0" w:val="nil"/>
          <w:right w:space="0" w:sz="0" w:val="nil"/>
          <w:between w:space="0" w:sz="0" w:val="nil"/>
        </w:pBdr>
        <w:tabs>
          <w:tab w:val="left" w:leader="none" w:pos="559"/>
          <w:tab w:val="left" w:leader="none" w:pos="560"/>
        </w:tabs>
        <w:ind w:left="720" w:right="495"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organization is aware that any false claims could result in a penalty as defined by the Federal Acquisition Regulation (FAR) including removal of the product from the Approved Products List.</w:t>
      </w:r>
    </w:p>
    <w:p w:rsidR="00000000" w:rsidDel="00000000" w:rsidP="00000000" w:rsidRDefault="00000000" w:rsidRPr="00000000" w14:paraId="000000E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before="10" w:lineRule="auto"/>
        <w:rPr>
          <w:rFonts w:ascii="Times New Roman" w:cs="Times New Roman" w:eastAsia="Times New Roman" w:hAnsi="Times New Roman"/>
          <w:color w:val="000000"/>
          <w:sz w:val="19"/>
          <w:szCs w:val="19"/>
        </w:rPr>
      </w:pPr>
      <w:r w:rsidDel="00000000" w:rsidR="00000000" w:rsidRPr="00000000">
        <w:rPr>
          <w:rtl w:val="0"/>
        </w:rPr>
      </w:r>
    </w:p>
    <w:tbl>
      <w:tblPr>
        <w:tblStyle w:val="Table6"/>
        <w:tblW w:w="9360.0" w:type="dxa"/>
        <w:jc w:val="left"/>
        <w:tblInd w:w="2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5"/>
        <w:gridCol w:w="405"/>
        <w:gridCol w:w="4920"/>
        <w:gridCol w:w="720"/>
        <w:gridCol w:w="2160"/>
        <w:tblGridChange w:id="0">
          <w:tblGrid>
            <w:gridCol w:w="1155"/>
            <w:gridCol w:w="405"/>
            <w:gridCol w:w="4920"/>
            <w:gridCol w:w="720"/>
            <w:gridCol w:w="2160"/>
          </w:tblGrid>
        </w:tblGridChange>
      </w:tblGrid>
      <w:tr>
        <w:trPr>
          <w:cantSplit w:val="0"/>
          <w:trHeight w:val="531" w:hRule="atLeast"/>
          <w:tblHeader w:val="0"/>
        </w:trPr>
        <w:tc>
          <w:tcPr>
            <w:gridSpan w:val="2"/>
            <w:shd w:fill="c0c0c0" w:val="clea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before="132" w:lineRule="auto"/>
              <w:ind w:left="10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Signature</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shd w:fill="c0c0c0" w:val="clea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before="132" w:lineRule="auto"/>
              <w:ind w:left="109"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Date</w:t>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66" w:hRule="atLeast"/>
          <w:tblHeader w:val="0"/>
        </w:trPr>
        <w:tc>
          <w:tcPr>
            <w:shd w:fill="c0c0c0" w:val="clea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6" w:lineRule="auto"/>
              <w:ind w:right="96"/>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Name</w:t>
            </w:r>
          </w:p>
        </w:tc>
        <w:tc>
          <w:tcPr>
            <w:gridSpan w:val="4"/>
          </w:tcPr>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266" w:hRule="atLeast"/>
          <w:tblHeader w:val="0"/>
        </w:trPr>
        <w:tc>
          <w:tcPr>
            <w:shd w:fill="c0c0c0" w:val="clea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6" w:lineRule="auto"/>
              <w:ind w:right="96"/>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Title</w:t>
            </w:r>
          </w:p>
        </w:tc>
        <w:tc>
          <w:tcPr>
            <w:gridSpan w:val="4"/>
          </w:tcPr>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r>
    </w:tbl>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sectPr>
      <w:footerReference r:id="rId8" w:type="default"/>
      <w:pgSz w:h="15840" w:w="12240" w:orient="portrait"/>
      <w:pgMar w:bottom="700" w:top="1360" w:left="1240" w:right="1320" w:header="72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sz w:val="20"/>
        <w:szCs w:val="20"/>
        <w:rtl w:val="0"/>
      </w:rPr>
      <w:tab/>
      <w:t xml:space="preserve">V1.1</w:t>
      <w:tab/>
      <w:tab/>
      <w:tab/>
      <w:tab/>
      <w:tab/>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2641600</wp:posOffset>
              </wp:positionH>
              <wp:positionV relativeFrom="paragraph">
                <wp:posOffset>9537700</wp:posOffset>
              </wp:positionV>
              <wp:extent cx="614045" cy="232410"/>
              <wp:effectExtent b="0" l="0" r="0" t="0"/>
              <wp:wrapNone/>
              <wp:docPr id="1" name=""/>
              <a:graphic>
                <a:graphicData uri="http://schemas.microsoft.com/office/word/2010/wordprocessingShape">
                  <wps:wsp>
                    <wps:cNvSpPr/>
                    <wps:cNvPr id="2" name="Shape 2"/>
                    <wps:spPr>
                      <a:xfrm>
                        <a:off x="5058028" y="3682845"/>
                        <a:ext cx="575945" cy="194310"/>
                      </a:xfrm>
                      <a:custGeom>
                        <a:rect b="b" l="l" r="r" t="t"/>
                        <a:pathLst>
                          <a:path extrusionOk="0" h="194310" w="575945">
                            <a:moveTo>
                              <a:pt x="0" y="0"/>
                            </a:moveTo>
                            <a:lnTo>
                              <a:pt x="0" y="194310"/>
                            </a:lnTo>
                            <a:lnTo>
                              <a:pt x="575945" y="194310"/>
                            </a:lnTo>
                            <a:lnTo>
                              <a:pt x="575945" y="0"/>
                            </a:lnTo>
                            <a:close/>
                          </a:path>
                        </a:pathLst>
                      </a:custGeom>
                      <a:noFill/>
                      <a:ln>
                        <a:noFill/>
                      </a:ln>
                    </wps:spPr>
                    <wps:txbx>
                      <w:txbxContent>
                        <w:p w:rsidR="00000000" w:rsidDel="00000000" w:rsidP="00000000" w:rsidRDefault="00000000" w:rsidRPr="00000000">
                          <w:pPr>
                            <w:spacing w:after="0" w:before="17.999999523162842" w:line="240"/>
                            <w:ind w:left="20" w:right="0" w:firstLine="8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Page  PAGE 1/6</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2641600</wp:posOffset>
              </wp:positionH>
              <wp:positionV relativeFrom="paragraph">
                <wp:posOffset>9537700</wp:posOffset>
              </wp:positionV>
              <wp:extent cx="614045" cy="23241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14045" cy="23241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59" w:hanging="360"/>
      </w:pPr>
      <w:rPr>
        <w:rFonts w:ascii="Noto Sans Symbols" w:cs="Noto Sans Symbols" w:eastAsia="Noto Sans Symbols" w:hAnsi="Noto Sans Symbols"/>
        <w:b w:val="0"/>
        <w:i w:val="0"/>
        <w:sz w:val="20"/>
        <w:szCs w:val="20"/>
      </w:rPr>
    </w:lvl>
    <w:lvl w:ilvl="1">
      <w:start w:val="1"/>
      <w:numFmt w:val="bullet"/>
      <w:lvlText w:val="o"/>
      <w:lvlJc w:val="left"/>
      <w:pPr>
        <w:ind w:left="1280" w:hanging="361"/>
      </w:pPr>
      <w:rPr>
        <w:rFonts w:ascii="Courier New" w:cs="Courier New" w:eastAsia="Courier New" w:hAnsi="Courier New"/>
        <w:b w:val="0"/>
        <w:i w:val="0"/>
        <w:sz w:val="20"/>
        <w:szCs w:val="20"/>
      </w:rPr>
    </w:lvl>
    <w:lvl w:ilvl="2">
      <w:start w:val="1"/>
      <w:numFmt w:val="bullet"/>
      <w:lvlText w:val="•"/>
      <w:lvlJc w:val="left"/>
      <w:pPr>
        <w:ind w:left="2213" w:hanging="360"/>
      </w:pPr>
      <w:rPr/>
    </w:lvl>
    <w:lvl w:ilvl="3">
      <w:start w:val="1"/>
      <w:numFmt w:val="bullet"/>
      <w:lvlText w:val="•"/>
      <w:lvlJc w:val="left"/>
      <w:pPr>
        <w:ind w:left="3146" w:hanging="361"/>
      </w:pPr>
      <w:rPr/>
    </w:lvl>
    <w:lvl w:ilvl="4">
      <w:start w:val="1"/>
      <w:numFmt w:val="bullet"/>
      <w:lvlText w:val="•"/>
      <w:lvlJc w:val="left"/>
      <w:pPr>
        <w:ind w:left="4080" w:hanging="361"/>
      </w:pPr>
      <w:rPr/>
    </w:lvl>
    <w:lvl w:ilvl="5">
      <w:start w:val="1"/>
      <w:numFmt w:val="bullet"/>
      <w:lvlText w:val="•"/>
      <w:lvlJc w:val="left"/>
      <w:pPr>
        <w:ind w:left="5013" w:hanging="361"/>
      </w:pPr>
      <w:rPr/>
    </w:lvl>
    <w:lvl w:ilvl="6">
      <w:start w:val="1"/>
      <w:numFmt w:val="bullet"/>
      <w:lvlText w:val="•"/>
      <w:lvlJc w:val="left"/>
      <w:pPr>
        <w:ind w:left="5946" w:hanging="361"/>
      </w:pPr>
      <w:rPr/>
    </w:lvl>
    <w:lvl w:ilvl="7">
      <w:start w:val="1"/>
      <w:numFmt w:val="bullet"/>
      <w:lvlText w:val="•"/>
      <w:lvlJc w:val="left"/>
      <w:pPr>
        <w:ind w:left="6880" w:hanging="361"/>
      </w:pPr>
      <w:rPr/>
    </w:lvl>
    <w:lvl w:ilvl="8">
      <w:start w:val="1"/>
      <w:numFmt w:val="bullet"/>
      <w:lvlText w:val="•"/>
      <w:lvlJc w:val="left"/>
      <w:pPr>
        <w:ind w:left="7813" w:hanging="361.0000000000018"/>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9" w:lineRule="auto"/>
      <w:ind w:left="20" w:right="8" w:firstLine="24.000000000000004"/>
    </w:pPr>
    <w:rPr>
      <w:b w:val="1"/>
      <w:sz w:val="28"/>
      <w:szCs w:val="28"/>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src.nist.gov/Projects/nist-personal-identity-verification-program/Validation-Lists/piv-card-application-validation-list" TargetMode="External"/><Relationship Id="rId7" Type="http://schemas.openxmlformats.org/officeDocument/2006/relationships/hyperlink" Target="https://csrc.nist.gov/projects/cryptographic-module-validation-progra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